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EC93" w14:textId="5A6C30C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14:paraId="3A8E92E7" w14:textId="654842BD" w:rsidR="00CA6414" w:rsidRPr="00876000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  <w:r w:rsidR="00CA6414" w:rsidRPr="00876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770C" w14:textId="1362B7E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Дипломатиялық аударма кафедрасы</w:t>
      </w:r>
    </w:p>
    <w:p w14:paraId="2CF04A39" w14:textId="57CE47C1" w:rsidR="001C18AE" w:rsidRDefault="00985CE8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E8">
        <w:rPr>
          <w:rFonts w:ascii="Times New Roman" w:hAnsi="Times New Roman" w:cs="Times New Roman"/>
          <w:b/>
          <w:sz w:val="24"/>
          <w:szCs w:val="24"/>
          <w:lang w:val="kk-KZ"/>
        </w:rPr>
        <w:t>6B04201</w:t>
      </w:r>
      <w:r w:rsidRPr="00985C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314BDB" w:rsidRPr="00314BDB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CA6414" w:rsidRPr="00314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құқық</w:t>
      </w:r>
      <w:r w:rsidR="001C1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>амандығы бойынша</w:t>
      </w:r>
    </w:p>
    <w:p w14:paraId="3A7B0CAD" w14:textId="621665A3" w:rsidR="00314BDB" w:rsidRPr="00070329" w:rsidRDefault="001C18AE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 w:rsidRPr="00070329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</w:t>
      </w:r>
      <w:r w:rsidR="00081FC3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128765" w14:textId="7D93E2B8" w:rsidR="00CA6414" w:rsidRPr="00314BDB" w:rsidRDefault="00A53C97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силлабусы</w:t>
      </w:r>
      <w:r w:rsidR="003014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58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5E0FE50" w14:textId="7B48D121" w:rsidR="00CA6414" w:rsidRPr="00CA7C88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0329">
        <w:rPr>
          <w:rFonts w:ascii="Times New Roman" w:hAnsi="Times New Roman" w:cs="Times New Roman"/>
          <w:sz w:val="24"/>
          <w:szCs w:val="24"/>
          <w:lang w:val="kk-KZ"/>
        </w:rPr>
        <w:t>IYa 1101</w:t>
      </w:r>
      <w:r w:rsidR="00CA6414"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3C97">
        <w:rPr>
          <w:rFonts w:ascii="Times New Roman" w:hAnsi="Times New Roman" w:cs="Times New Roman"/>
          <w:sz w:val="24"/>
          <w:szCs w:val="24"/>
          <w:lang w:val="kk-KZ"/>
        </w:rPr>
        <w:t>Шет тілі</w:t>
      </w:r>
      <w:r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892DFD" w14:textId="1167FE24" w:rsidR="00CA6414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-2020 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жылының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күзгі семестр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14:paraId="5D8D5D47" w14:textId="77777777" w:rsidR="001C18AE" w:rsidRPr="00A53C97" w:rsidRDefault="001C18A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B5FE1B" w14:textId="60C236DD" w:rsidR="00CA6414" w:rsidRPr="00A53C97" w:rsidRDefault="00A53C97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876000" w14:paraId="0FB4839C" w14:textId="77777777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851" w14:textId="121F963D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258" w14:textId="2A3AA1BC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86B" w14:textId="2016C073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188" w14:textId="07C56285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 мөлшері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E06" w14:textId="49D52637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7D3" w14:textId="506D419A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ОСӨЖ</w:t>
            </w:r>
          </w:p>
        </w:tc>
      </w:tr>
      <w:tr w:rsidR="00CA6414" w:rsidRPr="00876000" w14:paraId="6862ABC7" w14:textId="77777777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5D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FF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2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057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09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EAE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EF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9B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414" w:rsidRPr="00876000" w14:paraId="243C6C3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11F" w14:textId="77777777" w:rsidR="00CA6414" w:rsidRPr="00070329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IYa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75" w14:textId="73BDA7DC" w:rsidR="00CA6414" w:rsidRPr="0007032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  <w:r w:rsidR="00CA6414" w:rsidRPr="000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DB23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A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B8A" w14:textId="77777777" w:rsidR="00CA6414" w:rsidRPr="0007032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D0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AAA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56A" w14:textId="77777777" w:rsidR="00CA6414" w:rsidRPr="0087600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6414" w:rsidRPr="00876000" w14:paraId="460F3D5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4E9F" w14:textId="4432D490" w:rsidR="00CA6414" w:rsidRPr="00876000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</w:t>
            </w:r>
          </w:p>
          <w:p w14:paraId="0F47F3CB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7E7" w14:textId="0973874A" w:rsidR="00CA6414" w:rsidRPr="008E58F2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4DE4CBDC" w14:textId="205C9016" w:rsidR="00CA6414" w:rsidRPr="0070636A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2D3" w14:textId="63A423C6" w:rsidR="00CA6414" w:rsidRPr="006868E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стік 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291" w14:textId="59E2DD41" w:rsidR="00CA6414" w:rsidRPr="00876000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A6414"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559C5" w:rsidRPr="00B559C5" w14:paraId="66B596B4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21B2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43" w14:textId="622B5F07" w:rsidR="00CA6414" w:rsidRPr="00B559C5" w:rsidRDefault="006868E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jumaliye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CA6414"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0F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E8E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9C5" w:rsidRPr="00B559C5" w14:paraId="25A7709F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0D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B36" w14:textId="4B34C429" w:rsidR="00CA6414" w:rsidRPr="00B559C5" w:rsidRDefault="00CA6414" w:rsidP="0068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868E9"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C74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3EE" w14:textId="42562ACB" w:rsidR="00CA6414" w:rsidRPr="00B559C5" w:rsidRDefault="00CA6414" w:rsidP="0068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</w:tbl>
    <w:p w14:paraId="23985177" w14:textId="77777777" w:rsidR="00CA6414" w:rsidRPr="00B559C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B559C5" w:rsidRPr="003E38BE" w14:paraId="1A77333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392" w14:textId="3CD9E3DB" w:rsidR="00CA6414" w:rsidRPr="00B559C5" w:rsidRDefault="006868E9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академиялық сипаттамасы </w:t>
            </w:r>
          </w:p>
          <w:p w14:paraId="54E7BA80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9EC2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EFE" w14:textId="0B819575" w:rsidR="000D6528" w:rsidRPr="00B559C5" w:rsidRDefault="00CA7C88" w:rsidP="000D6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мақсаты: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қызмет барысында</w:t>
            </w:r>
            <w:r w:rsidR="00A345E3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тілдік құзыреттілігін қолдана отырып, іскерлік және коммуникативті құзыреттілігін пайдалануға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бағытталған дағдылар</w:t>
            </w:r>
            <w:r w:rsidR="00A4360D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қалыптастыру. 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меңгеру нәтижесінде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қабілеттіліктерге ие болады: </w:t>
            </w:r>
          </w:p>
          <w:p w14:paraId="1286969F" w14:textId="37E84EA6" w:rsidR="005C422D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сөйлеу әрекетінің барлық аспектілері оқу, жазу, тыңдау, сөйлеу бойынша негізгі дағдыларды қалыптастыру. </w:t>
            </w:r>
          </w:p>
          <w:p w14:paraId="34A42219" w14:textId="504D1340" w:rsidR="000D6528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тілінің базалық деңгейінде қарым-қатынас орната алу, </w:t>
            </w:r>
            <w:r w:rsidR="001D5419" w:rsidRPr="00B559C5">
              <w:rPr>
                <w:color w:val="auto"/>
                <w:lang w:val="kk-KZ"/>
              </w:rPr>
              <w:t>жалпы тақырып аясындағы жеңіл және орташа қиындықтағы мәтіндер мен тыңдалым материалдарын т</w:t>
            </w:r>
            <w:r w:rsidR="000D6528" w:rsidRPr="00B559C5">
              <w:rPr>
                <w:color w:val="auto"/>
                <w:lang w:val="kk-KZ"/>
              </w:rPr>
              <w:t>үсіну</w:t>
            </w:r>
            <w:r w:rsidR="001D5419" w:rsidRPr="00B559C5">
              <w:rPr>
                <w:color w:val="auto"/>
                <w:lang w:val="kk-KZ"/>
              </w:rPr>
              <w:t xml:space="preserve">; </w:t>
            </w:r>
          </w:p>
          <w:p w14:paraId="36746A33" w14:textId="7CA6FF15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ауызша байланыс орнату барысында жалпы тақырыптар аясында және мамандығына байланысты кәсіби сөздер мен терминологияны игеру, </w:t>
            </w:r>
            <w:r w:rsidR="005C422D" w:rsidRPr="00B559C5">
              <w:rPr>
                <w:color w:val="auto"/>
                <w:lang w:val="kk-KZ"/>
              </w:rPr>
              <w:t>аудару және мағынасын анықтау ;</w:t>
            </w:r>
            <w:r w:rsidRPr="00B559C5">
              <w:rPr>
                <w:color w:val="auto"/>
                <w:lang w:val="kk-KZ"/>
              </w:rPr>
              <w:t xml:space="preserve"> </w:t>
            </w:r>
          </w:p>
          <w:p w14:paraId="797DD323" w14:textId="054F630E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</w:t>
            </w:r>
            <w:r w:rsidR="005C422D" w:rsidRPr="00B559C5">
              <w:rPr>
                <w:color w:val="auto"/>
                <w:lang w:val="kk-KZ"/>
              </w:rPr>
              <w:t>рнайы ұғымдарды түсіндіру</w:t>
            </w:r>
            <w:r w:rsidRPr="00B559C5">
              <w:rPr>
                <w:color w:val="auto"/>
                <w:lang w:val="kk-KZ"/>
              </w:rPr>
              <w:t xml:space="preserve"> </w:t>
            </w:r>
            <w:r w:rsidR="005C422D" w:rsidRPr="00B559C5">
              <w:rPr>
                <w:color w:val="auto"/>
                <w:lang w:val="kk-KZ"/>
              </w:rPr>
              <w:t xml:space="preserve">және оны өзінің жеке білімдік капиталына енгізуге арналған ақпараттық ортадағы берілген мүмкіндіктерді қолдану; </w:t>
            </w:r>
          </w:p>
          <w:p w14:paraId="7C883674" w14:textId="694C837C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Кәсіби саласына байланысты іс-шараларды сипаттау, өз тәжірибесімен, ойымен бөлісу, ақпараттық ортада берілген материалдарды сыни тұрғыда талдап, шынайылығын тексеріп, тиімділігін анықтап өзгелерге қолдануға кеңес беру. </w:t>
            </w:r>
          </w:p>
          <w:p w14:paraId="71EC8A01" w14:textId="6F24AD40" w:rsidR="00CA6414" w:rsidRPr="00B559C5" w:rsidRDefault="00CA6414" w:rsidP="005C422D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CA6414" w:rsidRPr="001C18AE" w14:paraId="0E0BD1A6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95A" w14:textId="60D27D01" w:rsidR="00CA6414" w:rsidRPr="0011701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14:paraId="62E0709F" w14:textId="451CC97E" w:rsidR="00CA6414" w:rsidRPr="00876000" w:rsidRDefault="00CA6414" w:rsidP="0011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786D" w14:textId="14E44D50" w:rsidR="00CA6414" w:rsidRPr="00117015" w:rsidRDefault="00117015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  <w:p w14:paraId="6D1304C5" w14:textId="77777777" w:rsidR="004B10D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1C051" w14:textId="5E112D61" w:rsidR="00271FCC" w:rsidRPr="001C18A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саладағы шет тілі. 1-бөлім</w:t>
            </w:r>
            <w:r w:rsidR="00117015"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1FCC" w:rsidRPr="001C1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3E38BE" w14:paraId="1F74464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832" w14:textId="16DA0C29" w:rsidR="00CA6414" w:rsidRPr="00117015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Әдебиеттер мен ақпарат ресурстары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D86" w14:textId="4D19E37B" w:rsidR="00CA6414" w:rsidRPr="000D0801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="00CA6414" w:rsidRPr="0087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BA91527" w14:textId="5B707DDB" w:rsidR="00CE757C" w:rsidRPr="009F006C" w:rsidRDefault="00CE757C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Christina Latham-Koeing, Clive Oxenden, Paul Seligson. English File Pre-intermediate Student’s Book, Work Book, iTutor – Oxford: Oxford University Press,  2017</w:t>
            </w:r>
          </w:p>
          <w:p w14:paraId="4238DC15" w14:textId="78A86D5A" w:rsidR="00FB0D00" w:rsidRPr="009F006C" w:rsidRDefault="00FB0D00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Catherine Mason, Rosemary Atkins. The Lawyer’s English Language coursebook – Stanford: Global Legal English, 2010 </w:t>
            </w:r>
          </w:p>
          <w:p w14:paraId="7F1CD8EB" w14:textId="483DBDB3" w:rsidR="00556CFD" w:rsidRPr="009F006C" w:rsidRDefault="00556CFD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Ю.Л. Гуманова, В.А. Королева-МакАри.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для юристов. Базовый курс. – М: Зерцало, 2000 </w:t>
            </w:r>
          </w:p>
          <w:p w14:paraId="22715309" w14:textId="01DE4A33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Rachel Bladon, Macmillan Cultural Readers. “England” pre-intermediate,  Coleen Degnan-Veness Macmillan Cultural Readers. “The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United States of America” pre-intermediate –  London: Macmillan</w:t>
            </w:r>
            <w:r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Publishers, 2015 -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жанрдағы адаптерленбеген оқуға арналған кітаптар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6C3E19" w14:textId="708B461A" w:rsidR="00CA6414" w:rsidRPr="00555550" w:rsidRDefault="001D7167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B01723" w:rsidRPr="005555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http://www.privatelawtutor.co.uk/articles/</w:t>
              </w:r>
            </w:hyperlink>
            <w:r w:rsidR="00B01723"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ресурс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"Private Law tutor</w:t>
            </w:r>
            <w:r w:rsidR="00CA6414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F4C2446" w14:textId="3369D848" w:rsidR="00555550" w:rsidRPr="00555550" w:rsidRDefault="001D7167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7" w:history="1">
              <w:r w:rsidR="00555550" w:rsidRPr="003310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https://www.lawyer-monthly.com</w:t>
              </w:r>
            </w:hyperlink>
            <w:r w:rsidR="00555550" w:rsidRPr="00B017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“Lawyer Monthly”</w:t>
            </w:r>
          </w:p>
          <w:p w14:paraId="769D9F65" w14:textId="17F8CA53" w:rsidR="00555550" w:rsidRPr="00555550" w:rsidRDefault="001D7167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8" w:history="1">
              <w:r w:rsidR="00555550" w:rsidRPr="00EC43D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http://www.bbc.co.uk</w:t>
              </w:r>
            </w:hyperlink>
            <w:r w:rsid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 w:rsidRPr="00EC43D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“British History”</w:t>
            </w:r>
          </w:p>
          <w:p w14:paraId="3219B652" w14:textId="3E768388" w:rsidR="00CA6414" w:rsidRPr="00EC43DD" w:rsidRDefault="00CA6414" w:rsidP="00D668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CA6414" w:rsidRPr="003E38BE" w14:paraId="4A25E0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724" w14:textId="7CC439FD" w:rsidR="00CA6414" w:rsidRPr="003C7A2C" w:rsidRDefault="003C7A2C" w:rsidP="003C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 этикалық құндылықтары мәнмәтініндегі пәннің академиялық саясаты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866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4B1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36E6B851" w14:textId="2BFB1CEB" w:rsidR="00CA6414" w:rsidRPr="004B10DE" w:rsidRDefault="00956977" w:rsidP="0095697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міндетті түрде қатысу, сабақтан кешікпеу. </w:t>
            </w:r>
          </w:p>
          <w:p w14:paraId="6DB8145B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себептерге байланысты сабаққа қатыспағаны үшін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белгіленіп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 кестесіне сәйкес өтеу жұмыстарын тапсыру және академиялық қарыздарын жою мүмкіндігі беріледі. Білім алушының оқытушыны алдын ала ескертпегені немесе негізсіз себептерге байланысты сабақтан қалғаны және сабаққа кешігіп келгені үшін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"Универ" Жүйесінде түзетуге берілетін мүмкіндіксіз </w:t>
            </w:r>
            <w:r w:rsidRPr="008C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қойылады.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E929A7C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сабаққа төменде көрсетілген кестеге сәйкес алдын ала дайындалу керек. Тапсырмаларды орындау үдерісі берліген тақырып талқыланатын аудиториялық сабаққа дейін аяқталу керек. </w:t>
            </w:r>
          </w:p>
          <w:p w14:paraId="045B8363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тапсырмалары пән кестесінде көрсетілгендей семестр уақытына бөлініп беріледі. Білім алушы көрсетілген мерзімге сәйкес презентация немесе баяндама әзірлейді.  </w:t>
            </w:r>
          </w:p>
          <w:p w14:paraId="4563E56F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тапсырмаларына қойылатын нақты талаптар аудиториялық сабақта беріледі. Білім алушы барлық тапсырманы орындап, оқытушыға көрсетілген мерзімде тапсыруы қажет. Тапсырмалар аралас түрде орындалуы қажет. </w:t>
            </w:r>
          </w:p>
          <w:p w14:paraId="6D8B4097" w14:textId="1239C4D0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өздік жұмы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коллоквиум/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эссе /лексико-граммати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тест  түрінде жүргізіледі.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C07DC4" w14:textId="77777777" w:rsidR="00CA6414" w:rsidRPr="004B10DE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14:paraId="73AA61EC" w14:textId="77777777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</w:p>
          <w:p w14:paraId="6A7B8D4C" w14:textId="3E8D69C9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адалдық және тұтастық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өз бетінше орындау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плагиат пен жалғандықты болдырмау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шпаргалка пайдаланбау,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бақылаудың 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 мен түрлерінен өту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 көшіру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оқытушыны алдау немесе сыйламау және т.с.с. академиялық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маларды бұзушылыққа жол бермеу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студентінің</w:t>
            </w:r>
          </w:p>
          <w:p w14:paraId="20E89279" w14:textId="77777777" w:rsidR="00D01992" w:rsidRPr="002130EB" w:rsidRDefault="00D01992" w:rsidP="00D01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Ар-намыс кодексі). </w:t>
            </w:r>
          </w:p>
          <w:p w14:paraId="1547FB16" w14:textId="05782747" w:rsidR="00D01992" w:rsidRPr="00D01992" w:rsidRDefault="00D01992" w:rsidP="00D019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 шектеулі білім алушылар жоғарыда көрсетілген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нөмірі арқылы кеңес беру көмегіне жүгіне алады. </w:t>
            </w:r>
          </w:p>
          <w:p w14:paraId="301C5642" w14:textId="039E86EA" w:rsidR="00CA6414" w:rsidRPr="00D01992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6414" w:rsidRPr="003E38BE" w14:paraId="1A0921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18B" w14:textId="7928E4DD" w:rsidR="00CA6414" w:rsidRPr="003C7A2C" w:rsidRDefault="003C7A2C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630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оқудағы жетістіктерінің деңгейі </w:t>
            </w:r>
            <w:r w:rsidRPr="0082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рұқсат алу рейтингілік бағадан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(60%)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емтихан бағасынан (40%)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қорытынды бағамен анықталады.  Ағымдағы аралық бақылау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2,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қойылатын қорытынды баға 100-баллдық шкаламен бағаланады, яғни, практикалық тапсырмаларды орындағаны үшін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60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балл, белгіленген мерзімде орындаған СӨЖ үшін </w:t>
            </w:r>
            <w:r w:rsidRPr="00C31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 Пән бойынша қорытынды баға (ҚБ) білім алушының аралық бақылаумен қатар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бақылауда (ҚБ) алған оң бағасы болған жағдайда ғана  келесі формула арқылы есептеледі:</w:t>
            </w:r>
          </w:p>
          <w:p w14:paraId="3E99DF86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21006E" w14:textId="77777777" w:rsidR="003C7A2C" w:rsidRPr="00824CBA" w:rsidRDefault="003C7A2C" w:rsidP="003C7A2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Қорытынды баға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= (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1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2 (МТ)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3)/3 * 0,6 + Е* 0,4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14:paraId="7D1A534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AF797" w14:textId="6073338C" w:rsidR="00CA6414" w:rsidRPr="003C7A2C" w:rsidRDefault="003C7A2C" w:rsidP="003C7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үлгерімі және сабаққа қатысу бойынша жиынтық рейтингтік баға  оқытушы тарапынан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"Универ"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Жүйесіне әр аптаның соңында қойлады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</w:tc>
      </w:tr>
    </w:tbl>
    <w:p w14:paraId="6B5B61FE" w14:textId="77777777" w:rsidR="005E15B8" w:rsidRPr="003C7A2C" w:rsidRDefault="005E15B8">
      <w:pPr>
        <w:rPr>
          <w:lang w:val="kk-KZ"/>
        </w:rPr>
      </w:pPr>
    </w:p>
    <w:p w14:paraId="2BCB44EF" w14:textId="024CBA1D" w:rsidR="005E15B8" w:rsidRPr="00685A99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үнтізбе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мазмұнындағы міндеттемелерді жүзеге асыру кестесі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5E15B8" w:rsidRPr="00EA41D4" w14:paraId="217B52FD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61D0" w14:textId="0282C8E5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2BFF" w14:textId="27B0D6C3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5C1C3" w14:textId="32859246" w:rsidR="005E15B8" w:rsidRPr="009F006C" w:rsidRDefault="00E64F2C" w:rsidP="0057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  <w:r w:rsidR="005E15B8" w:rsidRPr="009F0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0D70" w14:textId="1F75E21F" w:rsidR="005E15B8" w:rsidRPr="009F006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E15B8" w:rsidRPr="0001312F" w14:paraId="32FF09A7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B6A7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AE15C" w14:textId="77777777" w:rsidR="005E15B8" w:rsidRPr="004659AA" w:rsidRDefault="00E64F2C" w:rsidP="00E64F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 and society. The need for Law</w:t>
            </w:r>
          </w:p>
          <w:p w14:paraId="039FED57" w14:textId="3C387A15" w:rsidR="0001312F" w:rsidRPr="0001312F" w:rsidRDefault="0001312F" w:rsidP="00013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Introduction.</w:t>
            </w:r>
            <w:r w:rsidRPr="00013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Diagnostic test.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Tense forms.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0C62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D70D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5CCA395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16D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3359" w14:textId="77777777" w:rsidR="005E15B8" w:rsidRPr="004659AA" w:rsidRDefault="00E64F2C" w:rsidP="00575A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birth of Law. </w:t>
            </w:r>
          </w:p>
          <w:p w14:paraId="1FD262C0" w14:textId="5B70EE19" w:rsidR="0001312F" w:rsidRPr="00EA41D4" w:rsidRDefault="0001312F" w:rsidP="00575A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simple: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regular and irregular verbs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3238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0D8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4B18E866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37F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6B14" w14:textId="77777777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first Laws: Ancient Greece and Rome. </w:t>
            </w:r>
          </w:p>
          <w:p w14:paraId="67EABD7D" w14:textId="26755A49" w:rsidR="0001312F" w:rsidRPr="00EA41D4" w:rsidRDefault="0001312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+ present, will + infinitive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conditional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53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AA9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3B72039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7BD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47A3" w14:textId="75E588D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foundation of British Law: Magna Carta </w:t>
            </w:r>
          </w:p>
          <w:p w14:paraId="15C807E7" w14:textId="47CF832C" w:rsidR="005E15B8" w:rsidRPr="00EA41D4" w:rsidRDefault="005F3B75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D80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0E427D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A2B84" w14:textId="22FBE96D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445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224BAD92" w14:textId="77777777" w:rsidTr="00D66866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CE2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5E6D" w14:textId="3589DE8F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foundation of British Law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The Petition of right and Bill of Rights </w:t>
            </w:r>
          </w:p>
          <w:p w14:paraId="6D332E2C" w14:textId="092C98BC" w:rsidR="005E15B8" w:rsidRDefault="005A3C8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continuous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simple, past 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  <w:p w14:paraId="0A67A90C" w14:textId="77777777" w:rsidR="004659AA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0EFC47" w14:textId="3E145606" w:rsidR="005E15B8" w:rsidRPr="004659AA" w:rsidRDefault="00402409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Philosophers of Law   </w:t>
            </w:r>
          </w:p>
          <w:p w14:paraId="1FF11D91" w14:textId="7E8DD065" w:rsidR="005E15B8" w:rsidRPr="00EA41D4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FB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C9D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80BB9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91FF5" w14:textId="77777777" w:rsidR="00F0212F" w:rsidRDefault="00F0212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6C484" w14:textId="77777777" w:rsidR="00F0212F" w:rsidRDefault="00F0212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A97FF3" w14:textId="21C1C31C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39E5CE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5FCD28" w14:textId="0E5659DA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4E684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E0413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71260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CBE8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3655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2C71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E15B8" w:rsidRPr="00EA41D4" w14:paraId="05CB7FC2" w14:textId="77777777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7E13" w14:textId="7817095C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575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760A" w14:textId="564BADA7" w:rsidR="005E15B8" w:rsidRPr="00E64F2C" w:rsidRDefault="00E64F2C" w:rsidP="00575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675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B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6A95B22E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DE4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161B83" w14:textId="4105E1E5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European Law in 19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century: Napoleon’s Code</w:t>
            </w:r>
          </w:p>
          <w:p w14:paraId="28646764" w14:textId="2EC64E22" w:rsidR="00016695" w:rsidRDefault="00016695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going to (plans and predications)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358D7CAD" w14:textId="5B4D18EA" w:rsidR="00C964F0" w:rsidRPr="00EA41D4" w:rsidRDefault="00C964F0" w:rsidP="00C964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 (future arrangements);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efining relative clauses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DBF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A7EB9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80533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7A3DC043" w14:textId="77777777" w:rsidTr="004659AA">
        <w:trPr>
          <w:trHeight w:val="145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722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D3810" w14:textId="4DDC59B1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Crime and Punishment: Crime and Criminals </w:t>
            </w:r>
          </w:p>
          <w:p w14:paraId="53269AD1" w14:textId="77777777" w:rsidR="00C964F0" w:rsidRDefault="00C964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prefect +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yet, just, already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2E4AA57" w14:textId="2AF4E753" w:rsidR="004659AA" w:rsidRPr="004659AA" w:rsidRDefault="00C964F0" w:rsidP="00D6686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of past simple?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Something, anything, nothing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AE9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188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4F714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8BF9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9E1C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07BA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F43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32BF79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D4A9" w14:textId="0B0E14DA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C16DC" w14:textId="0816773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Crime and Punishment: Capital punishment. History </w:t>
            </w:r>
          </w:p>
          <w:p w14:paraId="0100CC07" w14:textId="5B9C65A8" w:rsidR="00C964F0" w:rsidRPr="00EA41D4" w:rsidRDefault="00C964F0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comparative adjectives and adverbs,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as…as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superlatives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(+ever, +present perfect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quantifiers,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too, not enough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0E2E778" w14:textId="77777777" w:rsidR="005E15B8" w:rsidRPr="00EA41D4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D6CA66" w14:textId="4D5E6B7C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Causes of Crime </w:t>
            </w:r>
          </w:p>
          <w:p w14:paraId="55E99A7C" w14:textId="0C5A4B34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Treatment of criminals</w:t>
            </w:r>
            <w:r w:rsidR="007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60B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3F66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10625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AF8048" w14:textId="77777777" w:rsidR="00F0212F" w:rsidRDefault="00F0212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54C7A5" w14:textId="77777777" w:rsidR="00F0212F" w:rsidRDefault="00F0212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89B029" w14:textId="77777777" w:rsidR="00F0212F" w:rsidRDefault="00F0212F" w:rsidP="00F02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8D7B4" w14:textId="100E3BC1" w:rsidR="005E15B8" w:rsidRPr="009F006C" w:rsidRDefault="00F0212F" w:rsidP="00F02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0983F3D" w14:textId="4A35C128" w:rsidR="005E15B8" w:rsidRPr="003E38BE" w:rsidRDefault="00F0212F" w:rsidP="00F02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3E3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EBE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F97AA8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76B27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A92B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CB7B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7D306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30A25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5B4052" w14:textId="6DE771BB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C964F0" w14:paraId="2BF24CE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DE30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07EAA909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63618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7F676" w14:textId="717E9705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Law Enforcement: The History of Police forces </w:t>
            </w:r>
          </w:p>
          <w:p w14:paraId="0FA299FF" w14:textId="25F2F85F" w:rsidR="008B6EF0" w:rsidRPr="00EA41D4" w:rsidRDefault="008B6E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will/won’t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predictions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will/won’t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decisions, offers, promises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review of verb forms: 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present, past and future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867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008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5EDFD7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E130B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D3289" w14:textId="517E1015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Law Enforcement: Police and the Public </w:t>
            </w:r>
          </w:p>
          <w:p w14:paraId="43788BAF" w14:textId="31B8C4AE" w:rsidR="005E15B8" w:rsidRDefault="008B6EF0" w:rsidP="00D668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uses of the infinitive with to; uses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gerund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verb+ -ing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have to, don’t have to, must, mustn’t </w:t>
            </w:r>
          </w:p>
          <w:p w14:paraId="45CCF5EB" w14:textId="77777777" w:rsidR="004659AA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6C03F" w14:textId="090CE947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Scotland Yard</w:t>
            </w:r>
          </w:p>
          <w:p w14:paraId="1E0AFB6E" w14:textId="4B9906EF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Police techniques</w:t>
            </w:r>
            <w:r w:rsidR="007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FA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14:paraId="4599271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CA06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4ABA3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5DB97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15D9E" w14:textId="0CFA763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F4F6A3F" w14:textId="2A0FC4FC" w:rsidR="005E15B8" w:rsidRPr="003E38BE" w:rsidRDefault="00AF63DF" w:rsidP="00AF6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3E3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C5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14:paraId="0CC8B98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251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5C7F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855C7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7DA759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A4117" w14:textId="06A906FC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D0AB17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6432F8" w14:textId="45694B28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2E9C" w14:textId="5A6C7287" w:rsidR="005E15B8" w:rsidRPr="00EA41D4" w:rsidRDefault="005E15B8" w:rsidP="00E64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DA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C98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76F089CF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8A24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04185B5" w14:textId="77777777" w:rsidR="005E15B8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Working in Law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6EF0"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="008B6EF0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8B6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should, possessive pronouns </w:t>
            </w:r>
          </w:p>
          <w:p w14:paraId="5D81C751" w14:textId="65296EA9" w:rsidR="00AF63DF" w:rsidRPr="004659AA" w:rsidRDefault="00AF63DF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Scotland Yard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5BE8F9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FCDACF9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C863FD" w14:textId="61DC84FF" w:rsidR="00AF63DF" w:rsidRPr="009F006C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0B0BA8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1E236720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AFF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F0E5" w14:textId="2F95CBAD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Making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claim in the civil court  </w:t>
            </w:r>
          </w:p>
          <w:p w14:paraId="4FE33F15" w14:textId="0FB2FEB6" w:rsidR="005E15B8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if+past, would+infinitive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second conditional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present prefect +for and since; present perfect or past simple?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E3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BA4F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60B10B93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0B98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9F4F" w14:textId="4834FAE2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Areas of Law </w:t>
            </w:r>
          </w:p>
          <w:p w14:paraId="7ED728BE" w14:textId="6AA1AC09" w:rsidR="005E15B8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passive, used to, might</w:t>
            </w:r>
          </w:p>
          <w:p w14:paraId="5751CAE8" w14:textId="77777777" w:rsidR="004659AA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414992" w14:textId="5D67480F" w:rsidR="005E15B8" w:rsidRPr="003E38BE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Legal profession I prefer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02BF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792CE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14CA9F" w14:textId="5BECD328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6D8F1B" w14:textId="77777777" w:rsidR="00AF63DF" w:rsidRPr="009F006C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1CCF32" w14:textId="63E71615" w:rsidR="005E15B8" w:rsidRPr="009F006C" w:rsidRDefault="00AF63DF" w:rsidP="00AF6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6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5D522C5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7B02B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23A71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CB38E" w14:textId="76D07434" w:rsidR="005E15B8" w:rsidRPr="009F006C" w:rsidRDefault="00AF63DF" w:rsidP="00AF6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4889793A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011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3838C" w14:textId="496B5ACC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Vocabulary Check </w:t>
            </w:r>
          </w:p>
          <w:p w14:paraId="5C765CA0" w14:textId="4D551267" w:rsidR="005E15B8" w:rsidRDefault="008B6EF0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465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 movement, word order of phrasal verbs, so, neither + auxiliaries</w:t>
            </w:r>
          </w:p>
          <w:p w14:paraId="53AFD714" w14:textId="77777777" w:rsidR="00AF63DF" w:rsidRPr="00AF63DF" w:rsidRDefault="00AF63DF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634034" w14:textId="62B6CFFE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2FBC" w:rsidRPr="002C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 Council of England &amp; Wales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2D7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228324" w14:textId="7C804E63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4C2AF7" w14:textId="77777777" w:rsidR="003E38BE" w:rsidRPr="009F006C" w:rsidRDefault="003E38BE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0DEA9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DC659" w14:textId="5C45CAC2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F2B3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4D70ABC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9257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FF80" w14:textId="66D3196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Revision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FCBDCD3" w14:textId="39B25B5C" w:rsidR="008B6EF0" w:rsidRDefault="008B6EF0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4659AA" w:rsidRPr="00465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perfect; reported speech; questions without auxiliaries</w:t>
            </w:r>
            <w:r w:rsid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F69D507" w14:textId="77777777" w:rsidR="005E15B8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E6FB1" w14:textId="747F7504" w:rsidR="005E15B8" w:rsidRPr="004659AA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American Bar Association</w:t>
            </w:r>
          </w:p>
          <w:p w14:paraId="4E695BDE" w14:textId="7C051FFE" w:rsidR="005E15B8" w:rsidRPr="002C2FBC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3E38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Law Society of England &amp; Wales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277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055F06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F575C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C0A74C" w14:textId="77777777" w:rsidR="00DC14A5" w:rsidRDefault="00DC14A5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3B6D3" w14:textId="2024398D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4ACF536" w14:textId="1F09F697" w:rsidR="005E15B8" w:rsidRPr="003E38BE" w:rsidRDefault="00DC14A5" w:rsidP="00DC1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3E3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7FD1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6C571C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AC0837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C3DCC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F8A97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ADDE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E291E4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EE73" w14:textId="70A66B4F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7B235" w14:textId="008891E5" w:rsidR="005E15B8" w:rsidRPr="00EA41D4" w:rsidRDefault="00575A0A" w:rsidP="005E15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5B9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975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46FC4643" w14:textId="77777777" w:rsidTr="005E15B8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C022" w14:textId="6C1F3C41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85D4" w14:textId="70D232F7" w:rsidR="005E15B8" w:rsidRPr="00E64F2C" w:rsidRDefault="00693A61" w:rsidP="00E64F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аптаға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20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C33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5E15B8" w:rsidRPr="00EA41D4" w14:paraId="46E1453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4909" w14:textId="65706C94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ED02A" w14:textId="77777777" w:rsidR="005E15B8" w:rsidRPr="00575A0A" w:rsidRDefault="00575A0A" w:rsidP="00D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92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8DC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4B29EF01" w14:textId="77777777" w:rsidR="00CA6414" w:rsidRDefault="00CA6414">
      <w:pPr>
        <w:rPr>
          <w:lang w:val="en-US"/>
        </w:rPr>
      </w:pPr>
    </w:p>
    <w:p w14:paraId="22C2DBE5" w14:textId="565CEEA1" w:rsidR="00CA6414" w:rsidRP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төрағасы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876000">
        <w:rPr>
          <w:rFonts w:ascii="Times New Roman" w:hAnsi="Times New Roman" w:cs="Times New Roman"/>
          <w:sz w:val="24"/>
          <w:szCs w:val="24"/>
        </w:rPr>
        <w:t>Машимбаева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414" w:rsidRPr="00876000">
        <w:rPr>
          <w:rFonts w:ascii="Times New Roman" w:hAnsi="Times New Roman" w:cs="Times New Roman"/>
          <w:sz w:val="24"/>
          <w:szCs w:val="24"/>
        </w:rPr>
        <w:t>Г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414" w:rsidRPr="00876000">
        <w:rPr>
          <w:rFonts w:ascii="Times New Roman" w:hAnsi="Times New Roman" w:cs="Times New Roman"/>
          <w:sz w:val="24"/>
          <w:szCs w:val="24"/>
        </w:rPr>
        <w:t>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7AB490" w14:textId="77777777" w:rsidR="00CA6414" w:rsidRPr="00E55C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466D3" w14:textId="77777777" w:rsid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Дипломатиялық аударма </w:t>
      </w:r>
    </w:p>
    <w:p w14:paraId="3B6C5323" w14:textId="42857A62" w:rsidR="00CA6414" w:rsidRPr="00876000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CA6414"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45BE3EF4" w14:textId="77777777" w:rsidR="00CA6414" w:rsidRPr="0087600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1FD4B" w14:textId="562E3EFC" w:rsidR="00CA6414" w:rsidRPr="00E55C18" w:rsidRDefault="00E55C18" w:rsidP="00E55C1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C18"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Жумалиева Ж.К.</w:t>
      </w:r>
    </w:p>
    <w:p w14:paraId="4BDEFA3E" w14:textId="77777777" w:rsidR="00CA6414" w:rsidRPr="00CA6414" w:rsidRDefault="00CA6414"/>
    <w:sectPr w:rsidR="00CA6414" w:rsidRPr="00CA641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0B32BEAC"/>
    <w:lvl w:ilvl="0" w:tplc="3C30590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D29CB"/>
    <w:multiLevelType w:val="hybridMultilevel"/>
    <w:tmpl w:val="DED09666"/>
    <w:lvl w:ilvl="0" w:tplc="A8E4D9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5B8"/>
    <w:rsid w:val="0001312F"/>
    <w:rsid w:val="00016695"/>
    <w:rsid w:val="0003586A"/>
    <w:rsid w:val="00040835"/>
    <w:rsid w:val="00050379"/>
    <w:rsid w:val="00070329"/>
    <w:rsid w:val="0008145E"/>
    <w:rsid w:val="00081FC3"/>
    <w:rsid w:val="000D6528"/>
    <w:rsid w:val="00117015"/>
    <w:rsid w:val="001426AF"/>
    <w:rsid w:val="001902D0"/>
    <w:rsid w:val="001C18AE"/>
    <w:rsid w:val="001C36E2"/>
    <w:rsid w:val="001D5419"/>
    <w:rsid w:val="001D7167"/>
    <w:rsid w:val="00214C8A"/>
    <w:rsid w:val="00241C3B"/>
    <w:rsid w:val="00250388"/>
    <w:rsid w:val="00271FCC"/>
    <w:rsid w:val="002C2FBC"/>
    <w:rsid w:val="00301490"/>
    <w:rsid w:val="00314BDB"/>
    <w:rsid w:val="00341BC6"/>
    <w:rsid w:val="003C7A2C"/>
    <w:rsid w:val="003D4230"/>
    <w:rsid w:val="003D6837"/>
    <w:rsid w:val="003E38BE"/>
    <w:rsid w:val="00400C3B"/>
    <w:rsid w:val="00402409"/>
    <w:rsid w:val="00457628"/>
    <w:rsid w:val="004659AA"/>
    <w:rsid w:val="004B10DE"/>
    <w:rsid w:val="00555550"/>
    <w:rsid w:val="00556CFD"/>
    <w:rsid w:val="005671D4"/>
    <w:rsid w:val="00573682"/>
    <w:rsid w:val="00575A0A"/>
    <w:rsid w:val="005A3C8F"/>
    <w:rsid w:val="005C422D"/>
    <w:rsid w:val="005D1932"/>
    <w:rsid w:val="005E15B8"/>
    <w:rsid w:val="005F3B75"/>
    <w:rsid w:val="006542EF"/>
    <w:rsid w:val="00685A99"/>
    <w:rsid w:val="006868E9"/>
    <w:rsid w:val="00693A61"/>
    <w:rsid w:val="006B5206"/>
    <w:rsid w:val="006D1319"/>
    <w:rsid w:val="006D36F7"/>
    <w:rsid w:val="0070636A"/>
    <w:rsid w:val="0075036C"/>
    <w:rsid w:val="008A5E11"/>
    <w:rsid w:val="008B6EF0"/>
    <w:rsid w:val="008C61C7"/>
    <w:rsid w:val="008E58F2"/>
    <w:rsid w:val="00926076"/>
    <w:rsid w:val="00956977"/>
    <w:rsid w:val="00985CE8"/>
    <w:rsid w:val="009A20FA"/>
    <w:rsid w:val="009B03A1"/>
    <w:rsid w:val="009F006C"/>
    <w:rsid w:val="00A345E3"/>
    <w:rsid w:val="00A4360D"/>
    <w:rsid w:val="00A53A33"/>
    <w:rsid w:val="00A53C97"/>
    <w:rsid w:val="00AF63DF"/>
    <w:rsid w:val="00B01723"/>
    <w:rsid w:val="00B559C5"/>
    <w:rsid w:val="00C21939"/>
    <w:rsid w:val="00C30724"/>
    <w:rsid w:val="00C964F0"/>
    <w:rsid w:val="00CA6414"/>
    <w:rsid w:val="00CA7C88"/>
    <w:rsid w:val="00CC646F"/>
    <w:rsid w:val="00CD17AF"/>
    <w:rsid w:val="00CE757C"/>
    <w:rsid w:val="00D01992"/>
    <w:rsid w:val="00DC14A5"/>
    <w:rsid w:val="00DC4974"/>
    <w:rsid w:val="00E55C18"/>
    <w:rsid w:val="00E64F2C"/>
    <w:rsid w:val="00EC43DD"/>
    <w:rsid w:val="00F0212F"/>
    <w:rsid w:val="00F37C4C"/>
    <w:rsid w:val="00FA79F2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8AC"/>
  <w15:docId w15:val="{15E957E9-43FC-47A0-B262-27163DB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wyer-month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vatelawtutor.co.uk/articl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22DDC-FB02-4852-AB89-6CA92C7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</cp:revision>
  <dcterms:created xsi:type="dcterms:W3CDTF">2019-09-15T12:17:00Z</dcterms:created>
  <dcterms:modified xsi:type="dcterms:W3CDTF">2019-10-06T12:19:00Z</dcterms:modified>
</cp:coreProperties>
</file>